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502"/>
        <w:gridCol w:w="3797"/>
      </w:tblGrid>
      <w:tr w:rsidR="00AD2065" w:rsidTr="0075679E">
        <w:trPr>
          <w:trHeight w:val="915"/>
        </w:trPr>
        <w:tc>
          <w:tcPr>
            <w:tcW w:w="5502" w:type="dxa"/>
            <w:vAlign w:val="center"/>
          </w:tcPr>
          <w:p w:rsidR="00DB01A1" w:rsidRDefault="00AD2065" w:rsidP="00DB01A1">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DB01A1">
              <w:rPr>
                <w:rFonts w:asciiTheme="majorHAnsi" w:eastAsiaTheme="majorEastAsia" w:hAnsiTheme="majorHAnsi" w:cstheme="majorBidi"/>
                <w:sz w:val="36"/>
                <w:szCs w:val="36"/>
              </w:rPr>
              <w:t xml:space="preserve">KASIM </w:t>
            </w:r>
          </w:p>
          <w:p w:rsidR="00AD2065" w:rsidRDefault="00DB01A1" w:rsidP="0075679E">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REEL </w:t>
            </w:r>
            <w:r w:rsidR="0075679E">
              <w:rPr>
                <w:rFonts w:asciiTheme="majorHAnsi" w:eastAsiaTheme="majorEastAsia" w:hAnsiTheme="majorHAnsi" w:cstheme="majorBidi"/>
                <w:sz w:val="36"/>
                <w:szCs w:val="36"/>
              </w:rPr>
              <w:t>KESİM</w:t>
            </w:r>
            <w:r>
              <w:rPr>
                <w:rFonts w:asciiTheme="majorHAnsi" w:eastAsiaTheme="majorEastAsia" w:hAnsiTheme="majorHAnsi" w:cstheme="majorBidi"/>
                <w:sz w:val="36"/>
                <w:szCs w:val="36"/>
              </w:rPr>
              <w:t xml:space="preserve"> GÜVEN ENDEKSİ</w:t>
            </w:r>
          </w:p>
        </w:tc>
        <w:tc>
          <w:tcPr>
            <w:tcW w:w="3797" w:type="dxa"/>
          </w:tcPr>
          <w:p w:rsidR="00AD2065" w:rsidRDefault="00DB01A1" w:rsidP="00AD2065">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w:t>
            </w:r>
            <w:r w:rsidR="00BC294E">
              <w:rPr>
                <w:rFonts w:asciiTheme="majorHAnsi" w:eastAsiaTheme="majorEastAsia" w:hAnsiTheme="majorHAnsi" w:cstheme="majorBidi"/>
                <w:bCs/>
                <w:sz w:val="28"/>
                <w:szCs w:val="36"/>
              </w:rPr>
              <w:t>4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B0587A" w:rsidRPr="00DB01A1" w:rsidRDefault="00B0587A" w:rsidP="00B0587A">
      <w:pPr>
        <w:jc w:val="both"/>
        <w:rPr>
          <w:rFonts w:ascii="Times New Roman" w:hAnsi="Times New Roman" w:cs="Times New Roman"/>
          <w:b/>
          <w:sz w:val="24"/>
          <w:szCs w:val="24"/>
        </w:rPr>
      </w:pPr>
      <w:r w:rsidRPr="00DB01A1">
        <w:rPr>
          <w:rFonts w:ascii="Times New Roman" w:hAnsi="Times New Roman" w:cs="Times New Roman"/>
          <w:b/>
          <w:sz w:val="24"/>
          <w:szCs w:val="24"/>
        </w:rPr>
        <w:t>Kasım ayı Reel Kesim Güven Endeksi (RK</w:t>
      </w:r>
      <w:r w:rsidR="00302B5B">
        <w:rPr>
          <w:rFonts w:ascii="Times New Roman" w:hAnsi="Times New Roman" w:cs="Times New Roman"/>
          <w:b/>
          <w:sz w:val="24"/>
          <w:szCs w:val="24"/>
        </w:rPr>
        <w:t>G</w:t>
      </w:r>
      <w:r w:rsidRPr="00DB01A1">
        <w:rPr>
          <w:rFonts w:ascii="Times New Roman" w:hAnsi="Times New Roman" w:cs="Times New Roman"/>
          <w:b/>
          <w:sz w:val="24"/>
          <w:szCs w:val="24"/>
        </w:rPr>
        <w:t xml:space="preserve">E) Türkiye Cumhuriyeti Merkez Bankası (TCMB) tarafından 24 Kasım 2014 tarihinde yayımlandı. </w:t>
      </w:r>
    </w:p>
    <w:p w:rsidR="00A455AA" w:rsidRDefault="00B0587A" w:rsidP="00A455AA">
      <w:pPr>
        <w:jc w:val="both"/>
        <w:rPr>
          <w:rFonts w:ascii="Times New Roman" w:hAnsi="Times New Roman" w:cs="Times New Roman"/>
          <w:sz w:val="24"/>
          <w:szCs w:val="24"/>
        </w:rPr>
      </w:pPr>
      <w:r w:rsidRPr="00DB01A1">
        <w:rPr>
          <w:rFonts w:ascii="Times New Roman" w:hAnsi="Times New Roman" w:cs="Times New Roman"/>
        </w:rPr>
        <w:t xml:space="preserve">2014 yılı Ekim ayında </w:t>
      </w:r>
      <w:r w:rsidRPr="00DB01A1">
        <w:rPr>
          <w:rFonts w:ascii="Times New Roman" w:hAnsi="Times New Roman" w:cs="Times New Roman"/>
          <w:b/>
        </w:rPr>
        <w:t>106,9</w:t>
      </w:r>
      <w:r w:rsidRPr="00DB01A1">
        <w:rPr>
          <w:rFonts w:ascii="Times New Roman" w:hAnsi="Times New Roman" w:cs="Times New Roman"/>
        </w:rPr>
        <w:t xml:space="preserve"> olan RGKE, Kasım ayında </w:t>
      </w:r>
      <w:r w:rsidRPr="00DB01A1">
        <w:rPr>
          <w:rFonts w:ascii="Times New Roman" w:hAnsi="Times New Roman" w:cs="Times New Roman"/>
          <w:b/>
        </w:rPr>
        <w:t>4,2</w:t>
      </w:r>
      <w:r w:rsidRPr="00DB01A1">
        <w:rPr>
          <w:rFonts w:ascii="Times New Roman" w:hAnsi="Times New Roman" w:cs="Times New Roman"/>
        </w:rPr>
        <w:t xml:space="preserve"> puan azalarak </w:t>
      </w:r>
      <w:r w:rsidRPr="00DB01A1">
        <w:rPr>
          <w:rFonts w:ascii="Times New Roman" w:hAnsi="Times New Roman" w:cs="Times New Roman"/>
          <w:b/>
        </w:rPr>
        <w:t>102,7</w:t>
      </w:r>
      <w:r w:rsidRPr="00DB01A1">
        <w:rPr>
          <w:rFonts w:ascii="Times New Roman" w:hAnsi="Times New Roman" w:cs="Times New Roman"/>
        </w:rPr>
        <w:t xml:space="preserve"> seviyesine gerilemiştir. </w:t>
      </w:r>
      <w:r w:rsidR="00A455AA" w:rsidRPr="00DB01A1">
        <w:rPr>
          <w:rFonts w:ascii="Times New Roman" w:hAnsi="Times New Roman" w:cs="Times New Roman"/>
          <w:sz w:val="24"/>
          <w:szCs w:val="24"/>
        </w:rPr>
        <w:t xml:space="preserve">Mevsimsellikten arındırılmış reel kesim güven endeksi ise </w:t>
      </w:r>
      <w:r w:rsidR="00302B5B">
        <w:rPr>
          <w:rFonts w:ascii="Times New Roman" w:hAnsi="Times New Roman" w:cs="Times New Roman"/>
          <w:sz w:val="24"/>
          <w:szCs w:val="24"/>
        </w:rPr>
        <w:t>(R</w:t>
      </w:r>
      <w:r w:rsidR="00A455AA" w:rsidRPr="00DB01A1">
        <w:rPr>
          <w:rFonts w:ascii="Times New Roman" w:hAnsi="Times New Roman" w:cs="Times New Roman"/>
          <w:sz w:val="24"/>
          <w:szCs w:val="24"/>
        </w:rPr>
        <w:t>K</w:t>
      </w:r>
      <w:r w:rsidR="00302B5B">
        <w:rPr>
          <w:rFonts w:ascii="Times New Roman" w:hAnsi="Times New Roman" w:cs="Times New Roman"/>
          <w:sz w:val="24"/>
          <w:szCs w:val="24"/>
        </w:rPr>
        <w:t>G</w:t>
      </w:r>
      <w:r w:rsidR="00A455AA" w:rsidRPr="00DB01A1">
        <w:rPr>
          <w:rFonts w:ascii="Times New Roman" w:hAnsi="Times New Roman" w:cs="Times New Roman"/>
          <w:sz w:val="24"/>
          <w:szCs w:val="24"/>
        </w:rPr>
        <w:t>E-MA) bir önceki aya g</w:t>
      </w:r>
      <w:r w:rsidR="00302B5B">
        <w:rPr>
          <w:rFonts w:ascii="Times New Roman" w:hAnsi="Times New Roman" w:cs="Times New Roman"/>
          <w:sz w:val="24"/>
          <w:szCs w:val="24"/>
        </w:rPr>
        <w:t>ö</w:t>
      </w:r>
      <w:r w:rsidR="00A455AA" w:rsidRPr="00DB01A1">
        <w:rPr>
          <w:rFonts w:ascii="Times New Roman" w:hAnsi="Times New Roman" w:cs="Times New Roman"/>
          <w:sz w:val="24"/>
          <w:szCs w:val="24"/>
        </w:rPr>
        <w:t xml:space="preserve">re </w:t>
      </w:r>
      <w:r w:rsidR="00A455AA" w:rsidRPr="00DB01A1">
        <w:rPr>
          <w:rFonts w:ascii="Times New Roman" w:hAnsi="Times New Roman" w:cs="Times New Roman"/>
          <w:b/>
          <w:sz w:val="24"/>
          <w:szCs w:val="24"/>
        </w:rPr>
        <w:t>1,4</w:t>
      </w:r>
      <w:r w:rsidR="00A455AA" w:rsidRPr="00DB01A1">
        <w:rPr>
          <w:rFonts w:ascii="Times New Roman" w:hAnsi="Times New Roman" w:cs="Times New Roman"/>
          <w:sz w:val="24"/>
          <w:szCs w:val="24"/>
        </w:rPr>
        <w:t xml:space="preserve"> puan azalarak </w:t>
      </w:r>
      <w:r w:rsidR="00A455AA" w:rsidRPr="00DB01A1">
        <w:rPr>
          <w:rFonts w:ascii="Times New Roman" w:hAnsi="Times New Roman" w:cs="Times New Roman"/>
          <w:b/>
          <w:sz w:val="24"/>
          <w:szCs w:val="24"/>
        </w:rPr>
        <w:t>108,4</w:t>
      </w:r>
      <w:r w:rsidR="00A455AA" w:rsidRPr="00DB01A1">
        <w:rPr>
          <w:rFonts w:ascii="Times New Roman" w:hAnsi="Times New Roman" w:cs="Times New Roman"/>
          <w:sz w:val="24"/>
          <w:szCs w:val="24"/>
        </w:rPr>
        <w:t xml:space="preserve"> puan seviyesine gerilemiştir.</w:t>
      </w:r>
    </w:p>
    <w:p w:rsidR="00A455AA" w:rsidRPr="00577A08" w:rsidRDefault="00A455AA" w:rsidP="00A455AA">
      <w:pPr>
        <w:jc w:val="both"/>
        <w:rPr>
          <w:rFonts w:ascii="Times New Roman" w:hAnsi="Times New Roman" w:cs="Times New Roman"/>
          <w:sz w:val="24"/>
          <w:szCs w:val="24"/>
        </w:rPr>
      </w:pPr>
      <w:r w:rsidRPr="00577A08">
        <w:rPr>
          <w:rFonts w:ascii="Times New Roman" w:hAnsi="Times New Roman" w:cs="Times New Roman"/>
          <w:sz w:val="24"/>
          <w:szCs w:val="24"/>
        </w:rPr>
        <w:t>Kasım ayında Reel Kesim Güven Endeksi (</w:t>
      </w:r>
      <w:r>
        <w:rPr>
          <w:rFonts w:ascii="Times New Roman" w:hAnsi="Times New Roman" w:cs="Times New Roman"/>
          <w:sz w:val="24"/>
          <w:szCs w:val="24"/>
        </w:rPr>
        <w:t>Şekil</w:t>
      </w:r>
      <w:r w:rsidRPr="00577A08">
        <w:rPr>
          <w:rFonts w:ascii="Times New Roman" w:hAnsi="Times New Roman" w:cs="Times New Roman"/>
          <w:sz w:val="24"/>
          <w:szCs w:val="24"/>
        </w:rPr>
        <w:t xml:space="preserve"> 1) bir öncek</w:t>
      </w:r>
      <w:r>
        <w:rPr>
          <w:rFonts w:ascii="Times New Roman" w:hAnsi="Times New Roman" w:cs="Times New Roman"/>
          <w:sz w:val="24"/>
          <w:szCs w:val="24"/>
        </w:rPr>
        <w:t>i aya göre yüzde 4</w:t>
      </w:r>
      <w:r w:rsidRPr="00577A08">
        <w:rPr>
          <w:rFonts w:ascii="Times New Roman" w:hAnsi="Times New Roman" w:cs="Times New Roman"/>
          <w:sz w:val="24"/>
          <w:szCs w:val="24"/>
        </w:rPr>
        <w:t xml:space="preserve"> </w:t>
      </w:r>
      <w:r>
        <w:rPr>
          <w:rFonts w:ascii="Times New Roman" w:hAnsi="Times New Roman" w:cs="Times New Roman"/>
          <w:sz w:val="24"/>
          <w:szCs w:val="24"/>
        </w:rPr>
        <w:t>düşmüştür</w:t>
      </w:r>
      <w:r w:rsidRPr="00577A08">
        <w:rPr>
          <w:rFonts w:ascii="Times New Roman" w:hAnsi="Times New Roman" w:cs="Times New Roman"/>
          <w:sz w:val="24"/>
          <w:szCs w:val="24"/>
        </w:rPr>
        <w:t>. Endeks bir önceki yılın aynı ayına gö</w:t>
      </w:r>
      <w:r>
        <w:rPr>
          <w:rFonts w:ascii="Times New Roman" w:hAnsi="Times New Roman" w:cs="Times New Roman"/>
          <w:sz w:val="24"/>
          <w:szCs w:val="24"/>
        </w:rPr>
        <w:t>re ise yüzde 1,72 oranında azalmıştır</w:t>
      </w:r>
      <w:r w:rsidRPr="00577A08">
        <w:rPr>
          <w:rFonts w:ascii="Times New Roman" w:hAnsi="Times New Roman" w:cs="Times New Roman"/>
          <w:sz w:val="24"/>
          <w:szCs w:val="24"/>
        </w:rPr>
        <w:t>. Mevsimlikten arındırılmış Reel Kesim Güven Endeks</w:t>
      </w:r>
      <w:r>
        <w:rPr>
          <w:rFonts w:ascii="Times New Roman" w:hAnsi="Times New Roman" w:cs="Times New Roman"/>
          <w:sz w:val="24"/>
          <w:szCs w:val="24"/>
        </w:rPr>
        <w:t>i (RKGE-MA) ise bir önceki aya</w:t>
      </w:r>
      <w:r w:rsidRPr="00577A08">
        <w:rPr>
          <w:rFonts w:ascii="Times New Roman" w:hAnsi="Times New Roman" w:cs="Times New Roman"/>
          <w:sz w:val="24"/>
          <w:szCs w:val="24"/>
        </w:rPr>
        <w:t xml:space="preserve"> göre yüzde 1,28 </w:t>
      </w:r>
      <w:r>
        <w:rPr>
          <w:rFonts w:ascii="Times New Roman" w:hAnsi="Times New Roman" w:cs="Times New Roman"/>
          <w:sz w:val="24"/>
          <w:szCs w:val="24"/>
        </w:rPr>
        <w:t>gerilerken</w:t>
      </w:r>
      <w:r w:rsidRPr="00577A08">
        <w:rPr>
          <w:rFonts w:ascii="Times New Roman" w:hAnsi="Times New Roman" w:cs="Times New Roman"/>
          <w:sz w:val="24"/>
          <w:szCs w:val="24"/>
        </w:rPr>
        <w:t>, bir önceki yılın aynı ayına göre yüzde 1,63</w:t>
      </w:r>
      <w:r>
        <w:rPr>
          <w:rFonts w:ascii="Times New Roman" w:hAnsi="Times New Roman" w:cs="Times New Roman"/>
          <w:sz w:val="24"/>
          <w:szCs w:val="24"/>
        </w:rPr>
        <w:t>’e gerilemiştir</w:t>
      </w:r>
      <w:r w:rsidRPr="00577A08">
        <w:rPr>
          <w:rFonts w:ascii="Times New Roman" w:hAnsi="Times New Roman" w:cs="Times New Roman"/>
          <w:sz w:val="24"/>
          <w:szCs w:val="24"/>
        </w:rPr>
        <w:t>.</w:t>
      </w:r>
    </w:p>
    <w:p w:rsidR="00A455AA" w:rsidRDefault="00A455AA" w:rsidP="00A455AA">
      <w:pPr>
        <w:pStyle w:val="ResimYazs"/>
        <w:keepNext/>
      </w:pPr>
      <w:r>
        <w:t xml:space="preserve">Şekil </w:t>
      </w:r>
      <w:fldSimple w:instr=" SEQ Şekil \* ARABIC ">
        <w:r>
          <w:rPr>
            <w:noProof/>
          </w:rPr>
          <w:t>1</w:t>
        </w:r>
      </w:fldSimple>
      <w:r>
        <w:t>: Reel Sektör Güven Endeksi (Kasım 2013-Kasım 2014)</w:t>
      </w:r>
    </w:p>
    <w:p w:rsidR="00A455AA" w:rsidRPr="00577A08" w:rsidRDefault="00A455AA" w:rsidP="00A455AA">
      <w:pPr>
        <w:rPr>
          <w:rFonts w:ascii="Times New Roman" w:hAnsi="Times New Roman" w:cs="Times New Roman"/>
          <w:sz w:val="24"/>
          <w:szCs w:val="24"/>
        </w:rPr>
      </w:pPr>
      <w:r w:rsidRPr="00577A08">
        <w:rPr>
          <w:rFonts w:ascii="Times New Roman" w:hAnsi="Times New Roman" w:cs="Times New Roman"/>
          <w:noProof/>
          <w:sz w:val="24"/>
          <w:szCs w:val="24"/>
        </w:rPr>
        <w:drawing>
          <wp:inline distT="0" distB="0" distL="0" distR="0">
            <wp:extent cx="5772150" cy="2619375"/>
            <wp:effectExtent l="0" t="0" r="0" b="0"/>
            <wp:docPr id="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55AA" w:rsidRDefault="00A455AA" w:rsidP="00DB01A1">
      <w:pPr>
        <w:pStyle w:val="Default"/>
        <w:jc w:val="both"/>
        <w:rPr>
          <w:rFonts w:ascii="Times New Roman" w:hAnsi="Times New Roman" w:cs="Times New Roman"/>
        </w:rPr>
      </w:pPr>
    </w:p>
    <w:p w:rsidR="00DB01A1" w:rsidRDefault="00B0587A" w:rsidP="00DB01A1">
      <w:pPr>
        <w:pStyle w:val="Default"/>
        <w:jc w:val="both"/>
        <w:rPr>
          <w:rFonts w:ascii="Times New Roman" w:hAnsi="Times New Roman" w:cs="Times New Roman"/>
        </w:rPr>
      </w:pPr>
      <w:proofErr w:type="gramStart"/>
      <w:r w:rsidRPr="00DB01A1">
        <w:rPr>
          <w:rFonts w:ascii="Times New Roman" w:hAnsi="Times New Roman" w:cs="Times New Roman"/>
        </w:rPr>
        <w:t>Endeksi oluşturan yayılma endeksleri incelendiğinde yalnızca genel gidişat ve sabit sermaye yatırım harcamasına ilişkin değerlendirmeler endeksi artış gösterirken, son üç aydaki toplam sipariş miktarı, gelecek üç aydaki ihracat sipariş miktarı, gelecek üç aydaki üretim miktarı, gelecek üç aydaki toplam istihdam, mevcut toplam sipariş miktarı ve mevcut mamul mal stoku miktarı endeksleri</w:t>
      </w:r>
      <w:r w:rsidR="00DB01A1" w:rsidRPr="00DB01A1">
        <w:rPr>
          <w:rFonts w:ascii="Times New Roman" w:hAnsi="Times New Roman" w:cs="Times New Roman"/>
        </w:rPr>
        <w:t>nin</w:t>
      </w:r>
      <w:r w:rsidRPr="00DB01A1">
        <w:rPr>
          <w:rFonts w:ascii="Times New Roman" w:hAnsi="Times New Roman" w:cs="Times New Roman"/>
        </w:rPr>
        <w:t xml:space="preserve"> azal</w:t>
      </w:r>
      <w:r w:rsidR="00DB01A1" w:rsidRPr="00DB01A1">
        <w:rPr>
          <w:rFonts w:ascii="Times New Roman" w:hAnsi="Times New Roman" w:cs="Times New Roman"/>
        </w:rPr>
        <w:t xml:space="preserve">dığı görülmektedir. </w:t>
      </w:r>
      <w:proofErr w:type="gramEnd"/>
    </w:p>
    <w:p w:rsidR="00A455AA" w:rsidRDefault="00A455AA" w:rsidP="00DB01A1">
      <w:pPr>
        <w:pStyle w:val="Default"/>
        <w:jc w:val="both"/>
        <w:rPr>
          <w:rFonts w:ascii="Times New Roman" w:hAnsi="Times New Roman" w:cs="Times New Roman"/>
        </w:rPr>
      </w:pPr>
    </w:p>
    <w:p w:rsidR="00A455AA" w:rsidRDefault="00A455AA" w:rsidP="00A455AA">
      <w:pPr>
        <w:pStyle w:val="Default"/>
        <w:jc w:val="both"/>
        <w:rPr>
          <w:rFonts w:ascii="Times New Roman" w:hAnsi="Times New Roman" w:cs="Times New Roman"/>
        </w:rPr>
      </w:pPr>
      <w:r w:rsidRPr="00577A08">
        <w:rPr>
          <w:rFonts w:ascii="Times New Roman" w:hAnsi="Times New Roman" w:cs="Times New Roman"/>
        </w:rPr>
        <w:t>Son üç aydaki üretim hacmi, toplam sipariş miktarı ve ihracat sipariş miktarları incelendiğinde bir önceki aya göre sırasıyla yüzde 7,09, 12,80 ve 8,08 azalış göstermişlerdir</w:t>
      </w:r>
      <w:r>
        <w:rPr>
          <w:rFonts w:ascii="Times New Roman" w:hAnsi="Times New Roman" w:cs="Times New Roman"/>
        </w:rPr>
        <w:t xml:space="preserve"> (Şekil 2)</w:t>
      </w:r>
      <w:r w:rsidRPr="00577A08">
        <w:rPr>
          <w:rFonts w:ascii="Times New Roman" w:hAnsi="Times New Roman" w:cs="Times New Roman"/>
        </w:rPr>
        <w:t>. Aynı endekslerin 2013 yılı Kasım ayına göre değişimleri ise üretim hacmi için yüzde 1,1 artış, toplam sipariş miktarı için yüzde 3,54 ve ihracat sipariş miktarları için yüzde 2,93 düşüş olarak gerçekleşmiştir.</w:t>
      </w:r>
    </w:p>
    <w:p w:rsidR="00A455AA" w:rsidRDefault="00A455AA" w:rsidP="00A455AA">
      <w:pPr>
        <w:pStyle w:val="Default"/>
        <w:jc w:val="both"/>
        <w:rPr>
          <w:rFonts w:ascii="Times New Roman" w:hAnsi="Times New Roman" w:cs="Times New Roman"/>
        </w:rPr>
      </w:pPr>
    </w:p>
    <w:p w:rsidR="00A455AA" w:rsidRDefault="00A455AA" w:rsidP="00A455AA">
      <w:pPr>
        <w:pStyle w:val="ResimYazs"/>
        <w:keepNext/>
      </w:pPr>
      <w:r>
        <w:t xml:space="preserve">Şekil </w:t>
      </w:r>
      <w:fldSimple w:instr=" SEQ Şekil \* ARABIC ">
        <w:r>
          <w:rPr>
            <w:noProof/>
          </w:rPr>
          <w:t>2</w:t>
        </w:r>
      </w:fldSimple>
      <w:r>
        <w:t xml:space="preserve">: </w:t>
      </w:r>
      <w:r w:rsidRPr="00577A08">
        <w:rPr>
          <w:rFonts w:ascii="Times New Roman" w:hAnsi="Times New Roman" w:cs="Times New Roman"/>
        </w:rPr>
        <w:t>Son Üç Aydaki Üretim Hacmi, Toplam Sipariş Miktarı ve İhracat Sipariş Miktarı</w:t>
      </w:r>
      <w:r w:rsidR="00302B5B">
        <w:rPr>
          <w:rFonts w:ascii="Times New Roman" w:hAnsi="Times New Roman" w:cs="Times New Roman"/>
        </w:rPr>
        <w:t xml:space="preserve"> (Kasım 2013 - Kasım 2014)</w:t>
      </w:r>
    </w:p>
    <w:p w:rsidR="00A455AA" w:rsidRPr="00577A08" w:rsidRDefault="00A455AA" w:rsidP="00A455AA">
      <w:pPr>
        <w:pStyle w:val="Default"/>
        <w:rPr>
          <w:rFonts w:ascii="Times New Roman" w:hAnsi="Times New Roman" w:cs="Times New Roman"/>
          <w:b/>
          <w:bCs/>
        </w:rPr>
      </w:pPr>
      <w:r w:rsidRPr="00994CB0">
        <w:rPr>
          <w:rFonts w:ascii="Times New Roman" w:hAnsi="Times New Roman" w:cs="Times New Roman"/>
          <w:b/>
          <w:bCs/>
          <w:noProof/>
          <w:lang w:eastAsia="tr-TR"/>
        </w:rPr>
        <w:drawing>
          <wp:inline distT="0" distB="0" distL="0" distR="0">
            <wp:extent cx="6124575" cy="2667000"/>
            <wp:effectExtent l="0" t="0" r="0" b="0"/>
            <wp:docPr id="8"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55AA" w:rsidRPr="00DB01A1" w:rsidRDefault="00A455AA" w:rsidP="00DB01A1">
      <w:pPr>
        <w:pStyle w:val="Default"/>
        <w:jc w:val="both"/>
        <w:rPr>
          <w:rFonts w:ascii="Times New Roman" w:hAnsi="Times New Roman" w:cs="Times New Roman"/>
        </w:rPr>
      </w:pPr>
    </w:p>
    <w:p w:rsidR="00DB01A1" w:rsidRPr="00DB01A1" w:rsidRDefault="00DB01A1" w:rsidP="00DB01A1">
      <w:pPr>
        <w:pStyle w:val="Default"/>
        <w:jc w:val="both"/>
        <w:rPr>
          <w:rFonts w:ascii="Times New Roman" w:hAnsi="Times New Roman" w:cs="Times New Roman"/>
        </w:rPr>
      </w:pPr>
    </w:p>
    <w:p w:rsidR="00DB01A1" w:rsidRPr="00DB01A1" w:rsidRDefault="00DB01A1" w:rsidP="00DB01A1">
      <w:pPr>
        <w:pStyle w:val="Default"/>
        <w:jc w:val="both"/>
        <w:rPr>
          <w:rFonts w:ascii="Times New Roman" w:hAnsi="Times New Roman" w:cs="Times New Roman"/>
        </w:rPr>
      </w:pPr>
      <w:r w:rsidRPr="00DB01A1">
        <w:rPr>
          <w:rFonts w:ascii="Times New Roman" w:hAnsi="Times New Roman" w:cs="Times New Roman"/>
        </w:rPr>
        <w:t>Kasım ayı toplam istihdam endeksi Ekim ayına göre yüzde 3,77 (4,1 puan) gerileyerek 104,7 puan seviyesinde gerçekleşmiştir. Geçen yılın kasım ayına göre endeksteki düşüş ise yüzde 1,23 (1,3 puan) olmuştur. Kasım ayı genel gidişat endeksi ise Ekim ayına göre yüzde 4,87 (4,7 puan) artarak 101,3 puan seviyesinde gerçekleşmiştir. Geçen yılın kasım ayına göre ise endeks yüzde 3,34 (3,5 puan)  gerilmiştir.</w:t>
      </w:r>
    </w:p>
    <w:p w:rsidR="00DB01A1" w:rsidRPr="00DB01A1" w:rsidRDefault="00DB01A1" w:rsidP="00DB01A1">
      <w:pPr>
        <w:pStyle w:val="Default"/>
        <w:jc w:val="both"/>
        <w:rPr>
          <w:rFonts w:ascii="Times New Roman" w:hAnsi="Times New Roman" w:cs="Times New Roman"/>
        </w:rPr>
      </w:pPr>
    </w:p>
    <w:p w:rsidR="00302B5B" w:rsidRDefault="00302B5B" w:rsidP="00302B5B">
      <w:pPr>
        <w:pStyle w:val="ResimYazs"/>
        <w:keepNext/>
      </w:pPr>
      <w:r>
        <w:t xml:space="preserve">Tablo </w:t>
      </w:r>
      <w:fldSimple w:instr=" SEQ Tablo \* ARABIC ">
        <w:r>
          <w:rPr>
            <w:noProof/>
          </w:rPr>
          <w:t>1</w:t>
        </w:r>
      </w:fldSimple>
      <w:r>
        <w:t>: Bileşenler Bazında Reel Kesim Güven Endeki (Kasım 2013, Ekim-Kasım 2014)</w:t>
      </w:r>
    </w:p>
    <w:tbl>
      <w:tblPr>
        <w:tblStyle w:val="AkGlgeleme-Vurgu1"/>
        <w:tblW w:w="8109" w:type="dxa"/>
        <w:tblLook w:val="04A0"/>
      </w:tblPr>
      <w:tblGrid>
        <w:gridCol w:w="4219"/>
        <w:gridCol w:w="772"/>
        <w:gridCol w:w="1780"/>
        <w:gridCol w:w="1338"/>
      </w:tblGrid>
      <w:tr w:rsidR="00B0587A" w:rsidRPr="008259AC" w:rsidTr="00B0587A">
        <w:trPr>
          <w:cnfStyle w:val="100000000000"/>
          <w:trHeight w:val="465"/>
        </w:trPr>
        <w:tc>
          <w:tcPr>
            <w:cnfStyle w:val="001000000000"/>
            <w:tcW w:w="8109" w:type="dxa"/>
            <w:gridSpan w:val="4"/>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r w:rsidRPr="008259AC">
              <w:rPr>
                <w:rFonts w:ascii="Times New Roman" w:eastAsia="Times New Roman" w:hAnsi="Times New Roman" w:cs="Times New Roman"/>
                <w:color w:val="000000"/>
                <w:sz w:val="20"/>
                <w:szCs w:val="24"/>
              </w:rPr>
              <w:t>REEL KESİM GÜVEN ENDEKSİ (RKGE)</w:t>
            </w:r>
          </w:p>
        </w:tc>
      </w:tr>
      <w:tr w:rsidR="00B0587A" w:rsidRPr="008259AC" w:rsidTr="00B0587A">
        <w:trPr>
          <w:cnfStyle w:val="000000100000"/>
          <w:trHeight w:val="150"/>
        </w:trPr>
        <w:tc>
          <w:tcPr>
            <w:cnfStyle w:val="001000000000"/>
            <w:tcW w:w="4219" w:type="dxa"/>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r>
      <w:tr w:rsidR="00B0587A" w:rsidRPr="008259AC" w:rsidTr="00B0587A">
        <w:trPr>
          <w:trHeight w:val="405"/>
        </w:trPr>
        <w:tc>
          <w:tcPr>
            <w:cnfStyle w:val="001000000000"/>
            <w:tcW w:w="4219" w:type="dxa"/>
            <w:noWrap/>
            <w:hideMark/>
          </w:tcPr>
          <w:p w:rsidR="00B0587A" w:rsidRPr="008259AC" w:rsidRDefault="00B0587A" w:rsidP="00B0587A">
            <w:pPr>
              <w:jc w:val="both"/>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2 0 1 3</w:t>
            </w:r>
          </w:p>
        </w:tc>
        <w:tc>
          <w:tcPr>
            <w:tcW w:w="3118" w:type="dxa"/>
            <w:gridSpan w:val="2"/>
            <w:noWrap/>
            <w:hideMark/>
          </w:tcPr>
          <w:p w:rsidR="00B0587A" w:rsidRPr="008259AC" w:rsidRDefault="00B0587A" w:rsidP="00405472">
            <w:pPr>
              <w:jc w:val="center"/>
              <w:cnfStyle w:val="0000000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2014</w:t>
            </w:r>
          </w:p>
        </w:tc>
      </w:tr>
      <w:tr w:rsidR="00B0587A" w:rsidRPr="008259AC" w:rsidTr="00B0587A">
        <w:trPr>
          <w:cnfStyle w:val="000000100000"/>
          <w:trHeight w:val="390"/>
        </w:trPr>
        <w:tc>
          <w:tcPr>
            <w:cnfStyle w:val="001000000000"/>
            <w:tcW w:w="4219" w:type="dxa"/>
            <w:noWrap/>
            <w:hideMark/>
          </w:tcPr>
          <w:p w:rsidR="00B0587A" w:rsidRPr="008259AC" w:rsidRDefault="00B0587A" w:rsidP="00B0587A">
            <w:pPr>
              <w:jc w:val="both"/>
              <w:rPr>
                <w:rFonts w:ascii="Times New Roman" w:eastAsia="Times New Roman" w:hAnsi="Times New Roman" w:cs="Times New Roman"/>
                <w:color w:val="000000"/>
                <w:sz w:val="20"/>
                <w:szCs w:val="24"/>
              </w:rPr>
            </w:pP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Kasım</w:t>
            </w: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Ekim</w:t>
            </w: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Kasım</w:t>
            </w:r>
          </w:p>
        </w:tc>
      </w:tr>
      <w:tr w:rsidR="00B0587A" w:rsidRPr="008259AC" w:rsidTr="00B0587A">
        <w:trPr>
          <w:trHeight w:val="274"/>
        </w:trPr>
        <w:tc>
          <w:tcPr>
            <w:cnfStyle w:val="001000000000"/>
            <w:tcW w:w="4219" w:type="dxa"/>
            <w:hideMark/>
          </w:tcPr>
          <w:p w:rsidR="00B0587A" w:rsidRPr="008259AC" w:rsidRDefault="00B0587A" w:rsidP="00B0587A">
            <w:pPr>
              <w:jc w:val="both"/>
              <w:rPr>
                <w:rFonts w:ascii="Times New Roman" w:eastAsia="Times New Roman" w:hAnsi="Times New Roman" w:cs="Times New Roman"/>
                <w:b w:val="0"/>
                <w:bCs w:val="0"/>
                <w:i/>
                <w:iCs/>
                <w:color w:val="000000"/>
                <w:sz w:val="20"/>
                <w:szCs w:val="24"/>
              </w:rPr>
            </w:pPr>
            <w:r w:rsidRPr="008259AC">
              <w:rPr>
                <w:rFonts w:ascii="Times New Roman" w:eastAsia="Times New Roman" w:hAnsi="Times New Roman" w:cs="Times New Roman"/>
                <w:i/>
                <w:iCs/>
                <w:color w:val="000000"/>
                <w:sz w:val="20"/>
                <w:szCs w:val="24"/>
              </w:rPr>
              <w:t>Reel Kesim Güven Endeksi</w:t>
            </w:r>
          </w:p>
        </w:tc>
        <w:tc>
          <w:tcPr>
            <w:tcW w:w="772" w:type="dxa"/>
            <w:hideMark/>
          </w:tcPr>
          <w:p w:rsidR="00B0587A" w:rsidRPr="008259AC" w:rsidRDefault="00B0587A" w:rsidP="00405472">
            <w:pPr>
              <w:jc w:val="center"/>
              <w:cnfStyle w:val="000000000000"/>
              <w:rPr>
                <w:rFonts w:ascii="Times New Roman" w:eastAsia="Times New Roman" w:hAnsi="Times New Roman" w:cs="Times New Roman"/>
                <w:b/>
                <w:bCs/>
                <w:i/>
                <w:iCs/>
                <w:color w:val="000000"/>
                <w:sz w:val="20"/>
                <w:szCs w:val="24"/>
              </w:rPr>
            </w:pPr>
            <w:r w:rsidRPr="008259AC">
              <w:rPr>
                <w:rFonts w:ascii="Times New Roman" w:eastAsia="Times New Roman" w:hAnsi="Times New Roman" w:cs="Times New Roman"/>
                <w:b/>
                <w:bCs/>
                <w:i/>
                <w:iCs/>
                <w:color w:val="000000"/>
                <w:sz w:val="20"/>
                <w:szCs w:val="24"/>
              </w:rPr>
              <w:t>104,5</w:t>
            </w:r>
          </w:p>
        </w:tc>
        <w:tc>
          <w:tcPr>
            <w:tcW w:w="1780" w:type="dxa"/>
            <w:hideMark/>
          </w:tcPr>
          <w:p w:rsidR="00B0587A" w:rsidRPr="008259AC" w:rsidRDefault="00B0587A" w:rsidP="00405472">
            <w:pPr>
              <w:jc w:val="center"/>
              <w:cnfStyle w:val="000000000000"/>
              <w:rPr>
                <w:rFonts w:ascii="Times New Roman" w:eastAsia="Times New Roman" w:hAnsi="Times New Roman" w:cs="Times New Roman"/>
                <w:b/>
                <w:bCs/>
                <w:i/>
                <w:iCs/>
                <w:color w:val="000000"/>
                <w:sz w:val="20"/>
                <w:szCs w:val="24"/>
              </w:rPr>
            </w:pPr>
            <w:r w:rsidRPr="008259AC">
              <w:rPr>
                <w:rFonts w:ascii="Times New Roman" w:eastAsia="Times New Roman" w:hAnsi="Times New Roman" w:cs="Times New Roman"/>
                <w:b/>
                <w:bCs/>
                <w:i/>
                <w:iCs/>
                <w:color w:val="000000"/>
                <w:sz w:val="20"/>
                <w:szCs w:val="24"/>
              </w:rPr>
              <w:t>106,9</w:t>
            </w:r>
          </w:p>
        </w:tc>
        <w:tc>
          <w:tcPr>
            <w:tcW w:w="1338" w:type="dxa"/>
            <w:hideMark/>
          </w:tcPr>
          <w:p w:rsidR="00B0587A" w:rsidRPr="008259AC" w:rsidRDefault="00B0587A" w:rsidP="00405472">
            <w:pPr>
              <w:jc w:val="center"/>
              <w:cnfStyle w:val="000000000000"/>
              <w:rPr>
                <w:rFonts w:ascii="Times New Roman" w:eastAsia="Times New Roman" w:hAnsi="Times New Roman" w:cs="Times New Roman"/>
                <w:b/>
                <w:bCs/>
                <w:i/>
                <w:iCs/>
                <w:color w:val="000000"/>
                <w:sz w:val="20"/>
                <w:szCs w:val="24"/>
              </w:rPr>
            </w:pPr>
            <w:r w:rsidRPr="008259AC">
              <w:rPr>
                <w:rFonts w:ascii="Times New Roman" w:eastAsia="Times New Roman" w:hAnsi="Times New Roman" w:cs="Times New Roman"/>
                <w:b/>
                <w:bCs/>
                <w:i/>
                <w:iCs/>
                <w:color w:val="000000"/>
                <w:sz w:val="20"/>
                <w:szCs w:val="24"/>
              </w:rPr>
              <w:t>102,7</w:t>
            </w:r>
          </w:p>
        </w:tc>
      </w:tr>
      <w:tr w:rsidR="00B0587A" w:rsidRPr="008259AC" w:rsidTr="00B0587A">
        <w:trPr>
          <w:cnfStyle w:val="000000100000"/>
          <w:trHeight w:val="284"/>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Toplam sipariş miktarı        (Mevcut durum)</w:t>
            </w: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92,7</w:t>
            </w: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91,8</w:t>
            </w: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88,7</w:t>
            </w:r>
          </w:p>
        </w:tc>
      </w:tr>
      <w:tr w:rsidR="00B0587A" w:rsidRPr="008259AC" w:rsidTr="00B0587A">
        <w:trPr>
          <w:trHeight w:val="338"/>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 xml:space="preserve">Mamul mal stok miktarı (Mevcut durum) (*) </w:t>
            </w: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95,5</w:t>
            </w:r>
          </w:p>
        </w:tc>
        <w:tc>
          <w:tcPr>
            <w:tcW w:w="1780"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100,1</w:t>
            </w:r>
          </w:p>
        </w:tc>
        <w:tc>
          <w:tcPr>
            <w:tcW w:w="1338"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98,0</w:t>
            </w:r>
          </w:p>
        </w:tc>
      </w:tr>
      <w:tr w:rsidR="00B0587A" w:rsidRPr="008259AC" w:rsidTr="00B0587A">
        <w:trPr>
          <w:cnfStyle w:val="000000100000"/>
          <w:trHeight w:val="392"/>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Üretim hacmi               (Gelecek 3 ay)</w:t>
            </w: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108,9</w:t>
            </w: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118,5</w:t>
            </w: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110,1</w:t>
            </w:r>
          </w:p>
        </w:tc>
      </w:tr>
      <w:tr w:rsidR="00B0587A" w:rsidRPr="008259AC" w:rsidTr="00B0587A">
        <w:trPr>
          <w:trHeight w:val="432"/>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Toplam istihdam     (Gelecek 3 ay)</w:t>
            </w: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106,0</w:t>
            </w:r>
          </w:p>
        </w:tc>
        <w:tc>
          <w:tcPr>
            <w:tcW w:w="1780"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108,8</w:t>
            </w:r>
          </w:p>
        </w:tc>
        <w:tc>
          <w:tcPr>
            <w:tcW w:w="1338"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104,7</w:t>
            </w:r>
          </w:p>
        </w:tc>
      </w:tr>
      <w:tr w:rsidR="00B0587A" w:rsidRPr="008259AC" w:rsidTr="00B0587A">
        <w:trPr>
          <w:cnfStyle w:val="000000100000"/>
          <w:trHeight w:val="485"/>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Toplam sipariş miktarı      (Son 3 ay)</w:t>
            </w: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104,5</w:t>
            </w: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115,6</w:t>
            </w: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100,8</w:t>
            </w:r>
          </w:p>
        </w:tc>
      </w:tr>
      <w:tr w:rsidR="00B0587A" w:rsidRPr="008259AC" w:rsidTr="00B0587A">
        <w:trPr>
          <w:trHeight w:val="354"/>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İhracat sipariş miktarı (Gelecek 3 ay)</w:t>
            </w: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112,5</w:t>
            </w:r>
          </w:p>
        </w:tc>
        <w:tc>
          <w:tcPr>
            <w:tcW w:w="1780"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118,8</w:t>
            </w:r>
          </w:p>
        </w:tc>
        <w:tc>
          <w:tcPr>
            <w:tcW w:w="1338"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109,2</w:t>
            </w:r>
          </w:p>
        </w:tc>
      </w:tr>
      <w:tr w:rsidR="00B0587A" w:rsidRPr="008259AC" w:rsidTr="00B0587A">
        <w:trPr>
          <w:cnfStyle w:val="000000100000"/>
          <w:trHeight w:val="324"/>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Sabit sermaye yatırım harcaması</w:t>
            </w: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110,7</w:t>
            </w: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105,2</w:t>
            </w: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108,4</w:t>
            </w:r>
          </w:p>
        </w:tc>
      </w:tr>
      <w:tr w:rsidR="00B0587A" w:rsidRPr="008259AC" w:rsidTr="00A455AA">
        <w:trPr>
          <w:trHeight w:val="478"/>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Genel gidişat</w:t>
            </w: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104,8</w:t>
            </w:r>
          </w:p>
        </w:tc>
        <w:tc>
          <w:tcPr>
            <w:tcW w:w="1780"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96,6</w:t>
            </w:r>
          </w:p>
        </w:tc>
        <w:tc>
          <w:tcPr>
            <w:tcW w:w="1338" w:type="dxa"/>
            <w:noWrap/>
            <w:hideMark/>
          </w:tcPr>
          <w:p w:rsidR="00B0587A" w:rsidRPr="008259AC" w:rsidRDefault="00B0587A" w:rsidP="00405472">
            <w:pPr>
              <w:jc w:val="center"/>
              <w:cnfStyle w:val="00000000000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101,3</w:t>
            </w:r>
          </w:p>
        </w:tc>
      </w:tr>
    </w:tbl>
    <w:p w:rsidR="00B0587A" w:rsidRPr="00577A08" w:rsidRDefault="00B0587A" w:rsidP="00A455AA">
      <w:pPr>
        <w:pStyle w:val="Default"/>
        <w:rPr>
          <w:rFonts w:ascii="Times New Roman" w:hAnsi="Times New Roman" w:cs="Times New Roman"/>
          <w:b/>
          <w:bCs/>
        </w:rPr>
      </w:pPr>
    </w:p>
    <w:sectPr w:rsidR="00B0587A" w:rsidRPr="00577A08" w:rsidSect="00432DF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23355"/>
    <w:rsid w:val="000701FD"/>
    <w:rsid w:val="000D18BE"/>
    <w:rsid w:val="001E11A2"/>
    <w:rsid w:val="001E5A63"/>
    <w:rsid w:val="001F7633"/>
    <w:rsid w:val="00233BD5"/>
    <w:rsid w:val="002D3E19"/>
    <w:rsid w:val="00302B5B"/>
    <w:rsid w:val="00357954"/>
    <w:rsid w:val="003641B3"/>
    <w:rsid w:val="003A57CB"/>
    <w:rsid w:val="00432DF5"/>
    <w:rsid w:val="005405F5"/>
    <w:rsid w:val="00574C38"/>
    <w:rsid w:val="005C53F8"/>
    <w:rsid w:val="006020BD"/>
    <w:rsid w:val="006D41B5"/>
    <w:rsid w:val="0070186C"/>
    <w:rsid w:val="00731B2B"/>
    <w:rsid w:val="007330A1"/>
    <w:rsid w:val="007441EB"/>
    <w:rsid w:val="0075679E"/>
    <w:rsid w:val="007736BE"/>
    <w:rsid w:val="008C2C15"/>
    <w:rsid w:val="008D1077"/>
    <w:rsid w:val="009F54F1"/>
    <w:rsid w:val="00A455AA"/>
    <w:rsid w:val="00A61DB3"/>
    <w:rsid w:val="00A77365"/>
    <w:rsid w:val="00AD2065"/>
    <w:rsid w:val="00B0587A"/>
    <w:rsid w:val="00BC294E"/>
    <w:rsid w:val="00BC5F10"/>
    <w:rsid w:val="00C144CC"/>
    <w:rsid w:val="00C21D8B"/>
    <w:rsid w:val="00CC7D5F"/>
    <w:rsid w:val="00D2299D"/>
    <w:rsid w:val="00D23355"/>
    <w:rsid w:val="00DB01A1"/>
    <w:rsid w:val="00DC5FDC"/>
    <w:rsid w:val="00DE7934"/>
    <w:rsid w:val="00EF4E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587A"/>
    <w:pPr>
      <w:autoSpaceDE w:val="0"/>
      <w:autoSpaceDN w:val="0"/>
      <w:adjustRightInd w:val="0"/>
      <w:spacing w:after="0" w:line="240" w:lineRule="auto"/>
    </w:pPr>
    <w:rPr>
      <w:rFonts w:ascii="Tahoma" w:hAnsi="Tahoma" w:cs="Tahoma"/>
      <w:color w:val="000000"/>
      <w:sz w:val="24"/>
      <w:szCs w:val="24"/>
      <w:lang w:val="tr-TR"/>
    </w:rPr>
  </w:style>
  <w:style w:type="table" w:styleId="AkGlgeleme-Vurgu1">
    <w:name w:val="Light Shading Accent 1"/>
    <w:basedOn w:val="NormalTablo"/>
    <w:uiPriority w:val="60"/>
    <w:rsid w:val="00B0587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B01A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ikri\AppData\Local\Microsoft\Windows\Temporary%20Internet%20Files\Content.Outlook\7RRFEPJ5\1%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ikri\AppData\Local\Microsoft\Windows\Temporary%20Internet%20Files\Content.Outlook\7RRFEPJ5\1%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2"/>
  <c:chart>
    <c:autoTitleDeleted val="1"/>
    <c:plotArea>
      <c:layout/>
      <c:lineChart>
        <c:grouping val="standard"/>
        <c:ser>
          <c:idx val="0"/>
          <c:order val="0"/>
          <c:tx>
            <c:strRef>
              <c:f>'GUVEN ENDEKSI'!$B$2:$O$2</c:f>
              <c:strCache>
                <c:ptCount val="1"/>
                <c:pt idx="0">
                  <c:v>REEL KESİM GÜVEN ENDEKSİ (RKGE)</c:v>
                </c:pt>
              </c:strCache>
            </c:strRef>
          </c:tx>
          <c:marker>
            <c:symbol val="none"/>
          </c:marker>
          <c:cat>
            <c:strRef>
              <c:f>'GUVEN ENDEKSI'!$C$5:$O$5</c:f>
              <c:strCache>
                <c:ptCount val="13"/>
                <c:pt idx="0">
                  <c:v>Kasım 13</c:v>
                </c:pt>
                <c:pt idx="1">
                  <c:v>Aralık 13</c:v>
                </c:pt>
                <c:pt idx="2">
                  <c:v>Ocak 14</c:v>
                </c:pt>
                <c:pt idx="3">
                  <c:v>Şubat</c:v>
                </c:pt>
                <c:pt idx="4">
                  <c:v>Mart 14</c:v>
                </c:pt>
                <c:pt idx="5">
                  <c:v>Nisan 14</c:v>
                </c:pt>
                <c:pt idx="6">
                  <c:v>Mayıs 14</c:v>
                </c:pt>
                <c:pt idx="7">
                  <c:v>Haziran 14</c:v>
                </c:pt>
                <c:pt idx="8">
                  <c:v>Temmuz 14</c:v>
                </c:pt>
                <c:pt idx="9">
                  <c:v>Ağustos 14</c:v>
                </c:pt>
                <c:pt idx="10">
                  <c:v>Eylül 14</c:v>
                </c:pt>
                <c:pt idx="11">
                  <c:v>Ekim 14</c:v>
                </c:pt>
                <c:pt idx="12">
                  <c:v>Kasım 14</c:v>
                </c:pt>
              </c:strCache>
            </c:strRef>
          </c:cat>
          <c:val>
            <c:numRef>
              <c:f>'GUVEN ENDEKSI'!$C$6:$O$6</c:f>
              <c:numCache>
                <c:formatCode>0.0</c:formatCode>
                <c:ptCount val="13"/>
                <c:pt idx="0">
                  <c:v>104.45</c:v>
                </c:pt>
                <c:pt idx="1">
                  <c:v>102.12499999999999</c:v>
                </c:pt>
                <c:pt idx="2">
                  <c:v>101.35000000000001</c:v>
                </c:pt>
                <c:pt idx="3">
                  <c:v>104.6</c:v>
                </c:pt>
                <c:pt idx="4">
                  <c:v>108.62499999999999</c:v>
                </c:pt>
                <c:pt idx="5">
                  <c:v>112.6875</c:v>
                </c:pt>
                <c:pt idx="6">
                  <c:v>113.33749999999999</c:v>
                </c:pt>
                <c:pt idx="7">
                  <c:v>110.71249999999999</c:v>
                </c:pt>
                <c:pt idx="8">
                  <c:v>109.02500000000001</c:v>
                </c:pt>
                <c:pt idx="9">
                  <c:v>106.8125</c:v>
                </c:pt>
                <c:pt idx="10">
                  <c:v>107.55</c:v>
                </c:pt>
                <c:pt idx="11">
                  <c:v>106.925</c:v>
                </c:pt>
                <c:pt idx="12">
                  <c:v>102.64999999999999</c:v>
                </c:pt>
              </c:numCache>
            </c:numRef>
          </c:val>
        </c:ser>
        <c:ser>
          <c:idx val="1"/>
          <c:order val="1"/>
          <c:tx>
            <c:strRef>
              <c:f>'GUVEN ENDEKSI'!$B$18:$O$18</c:f>
              <c:strCache>
                <c:ptCount val="1"/>
                <c:pt idx="0">
                  <c:v>MEVSİMSELLİKTEN ARINDIRILMIŞ REEL KESİM GÜVEN ENDEKSİ (RKGE-MA)</c:v>
                </c:pt>
              </c:strCache>
            </c:strRef>
          </c:tx>
          <c:marker>
            <c:symbol val="none"/>
          </c:marker>
          <c:val>
            <c:numRef>
              <c:f>'GUVEN ENDEKSI'!$C$22:$O$22</c:f>
              <c:numCache>
                <c:formatCode>0.0</c:formatCode>
                <c:ptCount val="13"/>
                <c:pt idx="0">
                  <c:v>110.2</c:v>
                </c:pt>
                <c:pt idx="1">
                  <c:v>109.9</c:v>
                </c:pt>
                <c:pt idx="2">
                  <c:v>104.7</c:v>
                </c:pt>
                <c:pt idx="3">
                  <c:v>104.9</c:v>
                </c:pt>
                <c:pt idx="4">
                  <c:v>105.5</c:v>
                </c:pt>
                <c:pt idx="5">
                  <c:v>107.1</c:v>
                </c:pt>
                <c:pt idx="6">
                  <c:v>108.1</c:v>
                </c:pt>
                <c:pt idx="7">
                  <c:v>107.4</c:v>
                </c:pt>
                <c:pt idx="8">
                  <c:v>106.7</c:v>
                </c:pt>
                <c:pt idx="9">
                  <c:v>106.4</c:v>
                </c:pt>
                <c:pt idx="10">
                  <c:v>107.7</c:v>
                </c:pt>
                <c:pt idx="11">
                  <c:v>109.8</c:v>
                </c:pt>
                <c:pt idx="12">
                  <c:v>108.4</c:v>
                </c:pt>
              </c:numCache>
            </c:numRef>
          </c:val>
        </c:ser>
        <c:marker val="1"/>
        <c:axId val="114344704"/>
        <c:axId val="114348800"/>
      </c:lineChart>
      <c:catAx>
        <c:axId val="114344704"/>
        <c:scaling>
          <c:orientation val="minMax"/>
        </c:scaling>
        <c:axPos val="b"/>
        <c:numFmt formatCode="0" sourceLinked="1"/>
        <c:tickLblPos val="nextTo"/>
        <c:crossAx val="114348800"/>
        <c:crosses val="autoZero"/>
        <c:auto val="1"/>
        <c:lblAlgn val="ctr"/>
        <c:lblOffset val="100"/>
      </c:catAx>
      <c:valAx>
        <c:axId val="114348800"/>
        <c:scaling>
          <c:orientation val="minMax"/>
        </c:scaling>
        <c:axPos val="l"/>
        <c:majorGridlines/>
        <c:numFmt formatCode="0.0" sourceLinked="1"/>
        <c:tickLblPos val="nextTo"/>
        <c:crossAx val="114344704"/>
        <c:crosses val="autoZero"/>
        <c:crossBetween val="between"/>
      </c:valAx>
    </c:plotArea>
    <c:legend>
      <c:legendPos val="t"/>
      <c:txPr>
        <a:bodyPr/>
        <a:lstStyle/>
        <a:p>
          <a:pPr>
            <a:defRPr sz="900"/>
          </a:pPr>
          <a:endParaRPr lang="tr-T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7.8224073230515612E-2"/>
          <c:y val="4.1083099906629346E-2"/>
          <c:w val="0.89753350252705977"/>
          <c:h val="0.66034980921502495"/>
        </c:manualLayout>
      </c:layout>
      <c:lineChart>
        <c:grouping val="standard"/>
        <c:ser>
          <c:idx val="0"/>
          <c:order val="0"/>
          <c:tx>
            <c:strRef>
              <c:f>'GUVEN ENDEKSI'!$B$9</c:f>
              <c:strCache>
                <c:ptCount val="1"/>
                <c:pt idx="0">
                  <c:v>Üretim hacmi               (Gelecek 3 ay)</c:v>
                </c:pt>
              </c:strCache>
            </c:strRef>
          </c:tx>
          <c:marker>
            <c:symbol val="none"/>
          </c:marker>
          <c:cat>
            <c:strRef>
              <c:f>'GUVEN ENDEKSI'!$C$5:$O$5</c:f>
              <c:strCache>
                <c:ptCount val="13"/>
                <c:pt idx="0">
                  <c:v>Kasım 13</c:v>
                </c:pt>
                <c:pt idx="1">
                  <c:v>Aralık 13</c:v>
                </c:pt>
                <c:pt idx="2">
                  <c:v>Ocak 14</c:v>
                </c:pt>
                <c:pt idx="3">
                  <c:v>Şubat</c:v>
                </c:pt>
                <c:pt idx="4">
                  <c:v>Mart 14</c:v>
                </c:pt>
                <c:pt idx="5">
                  <c:v>Nisan 14</c:v>
                </c:pt>
                <c:pt idx="6">
                  <c:v>Mayıs 14</c:v>
                </c:pt>
                <c:pt idx="7">
                  <c:v>Haziran 14</c:v>
                </c:pt>
                <c:pt idx="8">
                  <c:v>Temmuz 14</c:v>
                </c:pt>
                <c:pt idx="9">
                  <c:v>Ağustos 14</c:v>
                </c:pt>
                <c:pt idx="10">
                  <c:v>Eylül 14</c:v>
                </c:pt>
                <c:pt idx="11">
                  <c:v>Ekim 14</c:v>
                </c:pt>
                <c:pt idx="12">
                  <c:v>Kasım 14</c:v>
                </c:pt>
              </c:strCache>
            </c:strRef>
          </c:cat>
          <c:val>
            <c:numRef>
              <c:f>'GUVEN ENDEKSI'!$C$9:$O$9</c:f>
              <c:numCache>
                <c:formatCode>0.0</c:formatCode>
                <c:ptCount val="13"/>
                <c:pt idx="0">
                  <c:v>108.9</c:v>
                </c:pt>
                <c:pt idx="1">
                  <c:v>99.8</c:v>
                </c:pt>
                <c:pt idx="2">
                  <c:v>113.8</c:v>
                </c:pt>
                <c:pt idx="3">
                  <c:v>122.1</c:v>
                </c:pt>
                <c:pt idx="4">
                  <c:v>135</c:v>
                </c:pt>
                <c:pt idx="5">
                  <c:v>136.4</c:v>
                </c:pt>
                <c:pt idx="6">
                  <c:v>137</c:v>
                </c:pt>
                <c:pt idx="7">
                  <c:v>126.2</c:v>
                </c:pt>
                <c:pt idx="8">
                  <c:v>122.7</c:v>
                </c:pt>
                <c:pt idx="9">
                  <c:v>120.6</c:v>
                </c:pt>
                <c:pt idx="10">
                  <c:v>124.1</c:v>
                </c:pt>
                <c:pt idx="11">
                  <c:v>118.5</c:v>
                </c:pt>
                <c:pt idx="12">
                  <c:v>110.1</c:v>
                </c:pt>
              </c:numCache>
            </c:numRef>
          </c:val>
        </c:ser>
        <c:ser>
          <c:idx val="1"/>
          <c:order val="1"/>
          <c:tx>
            <c:strRef>
              <c:f>'GUVEN ENDEKSI'!$B$11</c:f>
              <c:strCache>
                <c:ptCount val="1"/>
                <c:pt idx="0">
                  <c:v>Toplam sipariş miktarı      (Son 3 ay)</c:v>
                </c:pt>
              </c:strCache>
            </c:strRef>
          </c:tx>
          <c:marker>
            <c:symbol val="none"/>
          </c:marker>
          <c:cat>
            <c:strRef>
              <c:f>'GUVEN ENDEKSI'!$C$5:$O$5</c:f>
              <c:strCache>
                <c:ptCount val="13"/>
                <c:pt idx="0">
                  <c:v>Kasım 13</c:v>
                </c:pt>
                <c:pt idx="1">
                  <c:v>Aralık 13</c:v>
                </c:pt>
                <c:pt idx="2">
                  <c:v>Ocak 14</c:v>
                </c:pt>
                <c:pt idx="3">
                  <c:v>Şubat</c:v>
                </c:pt>
                <c:pt idx="4">
                  <c:v>Mart 14</c:v>
                </c:pt>
                <c:pt idx="5">
                  <c:v>Nisan 14</c:v>
                </c:pt>
                <c:pt idx="6">
                  <c:v>Mayıs 14</c:v>
                </c:pt>
                <c:pt idx="7">
                  <c:v>Haziran 14</c:v>
                </c:pt>
                <c:pt idx="8">
                  <c:v>Temmuz 14</c:v>
                </c:pt>
                <c:pt idx="9">
                  <c:v>Ağustos 14</c:v>
                </c:pt>
                <c:pt idx="10">
                  <c:v>Eylül 14</c:v>
                </c:pt>
                <c:pt idx="11">
                  <c:v>Ekim 14</c:v>
                </c:pt>
                <c:pt idx="12">
                  <c:v>Kasım 14</c:v>
                </c:pt>
              </c:strCache>
            </c:strRef>
          </c:cat>
          <c:val>
            <c:numRef>
              <c:f>'GUVEN ENDEKSI'!$C$11:$O$11</c:f>
              <c:numCache>
                <c:formatCode>0.0</c:formatCode>
                <c:ptCount val="13"/>
                <c:pt idx="0">
                  <c:v>104.5</c:v>
                </c:pt>
                <c:pt idx="1">
                  <c:v>110.3</c:v>
                </c:pt>
                <c:pt idx="2">
                  <c:v>99.6</c:v>
                </c:pt>
                <c:pt idx="3">
                  <c:v>106</c:v>
                </c:pt>
                <c:pt idx="4">
                  <c:v>104.4</c:v>
                </c:pt>
                <c:pt idx="5">
                  <c:v>116.8</c:v>
                </c:pt>
                <c:pt idx="6">
                  <c:v>119.2</c:v>
                </c:pt>
                <c:pt idx="7">
                  <c:v>118.4</c:v>
                </c:pt>
                <c:pt idx="8">
                  <c:v>118.4</c:v>
                </c:pt>
                <c:pt idx="9">
                  <c:v>110.8</c:v>
                </c:pt>
                <c:pt idx="10">
                  <c:v>106.9</c:v>
                </c:pt>
                <c:pt idx="11">
                  <c:v>115.6</c:v>
                </c:pt>
                <c:pt idx="12">
                  <c:v>100.8</c:v>
                </c:pt>
              </c:numCache>
            </c:numRef>
          </c:val>
        </c:ser>
        <c:ser>
          <c:idx val="2"/>
          <c:order val="2"/>
          <c:tx>
            <c:strRef>
              <c:f>'GUVEN ENDEKSI'!$B$12</c:f>
              <c:strCache>
                <c:ptCount val="1"/>
                <c:pt idx="0">
                  <c:v>İhracat sipariş miktarı (Gelecek 3 ay)</c:v>
                </c:pt>
              </c:strCache>
            </c:strRef>
          </c:tx>
          <c:marker>
            <c:symbol val="none"/>
          </c:marker>
          <c:cat>
            <c:strRef>
              <c:f>'GUVEN ENDEKSI'!$C$5:$O$5</c:f>
              <c:strCache>
                <c:ptCount val="13"/>
                <c:pt idx="0">
                  <c:v>Kasım 13</c:v>
                </c:pt>
                <c:pt idx="1">
                  <c:v>Aralık 13</c:v>
                </c:pt>
                <c:pt idx="2">
                  <c:v>Ocak 14</c:v>
                </c:pt>
                <c:pt idx="3">
                  <c:v>Şubat</c:v>
                </c:pt>
                <c:pt idx="4">
                  <c:v>Mart 14</c:v>
                </c:pt>
                <c:pt idx="5">
                  <c:v>Nisan 14</c:v>
                </c:pt>
                <c:pt idx="6">
                  <c:v>Mayıs 14</c:v>
                </c:pt>
                <c:pt idx="7">
                  <c:v>Haziran 14</c:v>
                </c:pt>
                <c:pt idx="8">
                  <c:v>Temmuz 14</c:v>
                </c:pt>
                <c:pt idx="9">
                  <c:v>Ağustos 14</c:v>
                </c:pt>
                <c:pt idx="10">
                  <c:v>Eylül 14</c:v>
                </c:pt>
                <c:pt idx="11">
                  <c:v>Ekim 14</c:v>
                </c:pt>
                <c:pt idx="12">
                  <c:v>Kasım 14</c:v>
                </c:pt>
              </c:strCache>
            </c:strRef>
          </c:cat>
          <c:val>
            <c:numRef>
              <c:f>'GUVEN ENDEKSI'!$C$12:$O$12</c:f>
              <c:numCache>
                <c:formatCode>0.0</c:formatCode>
                <c:ptCount val="13"/>
                <c:pt idx="0">
                  <c:v>112.5</c:v>
                </c:pt>
                <c:pt idx="1">
                  <c:v>108.3</c:v>
                </c:pt>
                <c:pt idx="2">
                  <c:v>115.6</c:v>
                </c:pt>
                <c:pt idx="3">
                  <c:v>121.9</c:v>
                </c:pt>
                <c:pt idx="4">
                  <c:v>133.9</c:v>
                </c:pt>
                <c:pt idx="5">
                  <c:v>133.30000000000001</c:v>
                </c:pt>
                <c:pt idx="6">
                  <c:v>133.19999999999999</c:v>
                </c:pt>
                <c:pt idx="7">
                  <c:v>124.1</c:v>
                </c:pt>
                <c:pt idx="8">
                  <c:v>121</c:v>
                </c:pt>
                <c:pt idx="9">
                  <c:v>118.9</c:v>
                </c:pt>
                <c:pt idx="10">
                  <c:v>125</c:v>
                </c:pt>
                <c:pt idx="11">
                  <c:v>118.8</c:v>
                </c:pt>
                <c:pt idx="12">
                  <c:v>109.2</c:v>
                </c:pt>
              </c:numCache>
            </c:numRef>
          </c:val>
        </c:ser>
        <c:marker val="1"/>
        <c:axId val="106047360"/>
        <c:axId val="106048896"/>
      </c:lineChart>
      <c:catAx>
        <c:axId val="106047360"/>
        <c:scaling>
          <c:orientation val="minMax"/>
        </c:scaling>
        <c:axPos val="b"/>
        <c:numFmt formatCode="0" sourceLinked="1"/>
        <c:majorTickMark val="none"/>
        <c:tickLblPos val="nextTo"/>
        <c:txPr>
          <a:bodyPr/>
          <a:lstStyle/>
          <a:p>
            <a:pPr>
              <a:defRPr sz="800" b="1"/>
            </a:pPr>
            <a:endParaRPr lang="tr-TR"/>
          </a:p>
        </c:txPr>
        <c:crossAx val="106048896"/>
        <c:crosses val="autoZero"/>
        <c:auto val="1"/>
        <c:lblAlgn val="ctr"/>
        <c:lblOffset val="100"/>
      </c:catAx>
      <c:valAx>
        <c:axId val="106048896"/>
        <c:scaling>
          <c:orientation val="minMax"/>
          <c:min val="90"/>
        </c:scaling>
        <c:axPos val="l"/>
        <c:majorGridlines/>
        <c:numFmt formatCode="0.0" sourceLinked="1"/>
        <c:majorTickMark val="none"/>
        <c:tickLblPos val="nextTo"/>
        <c:spPr>
          <a:ln w="9525">
            <a:noFill/>
          </a:ln>
        </c:spPr>
        <c:txPr>
          <a:bodyPr/>
          <a:lstStyle/>
          <a:p>
            <a:pPr>
              <a:defRPr sz="900" b="1"/>
            </a:pPr>
            <a:endParaRPr lang="tr-TR"/>
          </a:p>
        </c:txPr>
        <c:crossAx val="106047360"/>
        <c:crosses val="autoZero"/>
        <c:crossBetween val="between"/>
      </c:valAx>
    </c:plotArea>
    <c:legend>
      <c:legendPos val="b"/>
      <c:layout>
        <c:manualLayout>
          <c:xMode val="edge"/>
          <c:yMode val="edge"/>
          <c:x val="0.10149163396361982"/>
          <c:y val="0.85086238310835438"/>
          <c:w val="0.8521413688349847"/>
          <c:h val="0.12416665137386197"/>
        </c:manualLayout>
      </c:layout>
      <c:txPr>
        <a:bodyPr/>
        <a:lstStyle/>
        <a:p>
          <a:pPr>
            <a:defRPr sz="800"/>
          </a:pPr>
          <a:endParaRPr lang="tr-TR"/>
        </a:p>
      </c:txPr>
    </c:legend>
    <c:plotVisOnly val="1"/>
    <c:dispBlanksAs val="gap"/>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564A8-FF2E-404F-ADAA-816BDC97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2</cp:revision>
  <dcterms:created xsi:type="dcterms:W3CDTF">2014-11-24T15:41:00Z</dcterms:created>
  <dcterms:modified xsi:type="dcterms:W3CDTF">2014-11-24T15:41:00Z</dcterms:modified>
</cp:coreProperties>
</file>